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0.0" w:type="dxa"/>
        <w:jc w:val="left"/>
        <w:tblInd w:w="34.99999999999999" w:type="dxa"/>
        <w:tblBorders>
          <w:top w:color="000000" w:space="0" w:sz="4" w:val="single"/>
          <w:left w:color="000000" w:space="0" w:sz="4" w:val="single"/>
          <w:bottom w:color="000000" w:space="0" w:sz="4" w:val="single"/>
          <w:insideH w:color="000000" w:space="0" w:sz="4" w:val="single"/>
        </w:tblBorders>
        <w:tblLayout w:type="fixed"/>
        <w:tblLook w:val="0000"/>
      </w:tblPr>
      <w:tblGrid>
        <w:gridCol w:w="4737"/>
        <w:gridCol w:w="5073"/>
        <w:tblGridChange w:id="0">
          <w:tblGrid>
            <w:gridCol w:w="4737"/>
            <w:gridCol w:w="5073"/>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2">
            <w:pPr>
              <w:rPr>
                <w:color w:val="000000"/>
                <w:sz w:val="22"/>
                <w:szCs w:val="22"/>
              </w:rPr>
            </w:pPr>
            <w:r w:rsidDel="00000000" w:rsidR="00000000" w:rsidRPr="00000000">
              <w:rPr>
                <w:color w:val="000000"/>
                <w:sz w:val="22"/>
                <w:szCs w:val="22"/>
                <w:rtl w:val="0"/>
              </w:rPr>
              <w:t xml:space="preserve">Micro-brasserie La Baz</w:t>
            </w:r>
          </w:p>
          <w:p w:rsidR="00000000" w:rsidDel="00000000" w:rsidP="00000000" w:rsidRDefault="00000000" w:rsidRPr="00000000" w14:paraId="00000003">
            <w:pPr>
              <w:rPr>
                <w:color w:val="000000"/>
                <w:sz w:val="22"/>
                <w:szCs w:val="22"/>
              </w:rPr>
            </w:pPr>
            <w:r w:rsidDel="00000000" w:rsidR="00000000" w:rsidRPr="00000000">
              <w:rPr>
                <w:color w:val="000000"/>
                <w:sz w:val="22"/>
                <w:szCs w:val="22"/>
                <w:rtl w:val="0"/>
              </w:rPr>
              <w:t xml:space="preserve">1, impasse de la Lagune, Coudreceau</w:t>
            </w:r>
          </w:p>
          <w:p w:rsidR="00000000" w:rsidDel="00000000" w:rsidP="00000000" w:rsidRDefault="00000000" w:rsidRPr="00000000" w14:paraId="00000004">
            <w:pPr>
              <w:rPr>
                <w:color w:val="000000"/>
                <w:sz w:val="22"/>
                <w:szCs w:val="22"/>
              </w:rPr>
            </w:pPr>
            <w:r w:rsidDel="00000000" w:rsidR="00000000" w:rsidRPr="00000000">
              <w:rPr>
                <w:color w:val="000000"/>
                <w:sz w:val="22"/>
                <w:szCs w:val="22"/>
                <w:rtl w:val="0"/>
              </w:rPr>
              <w:t xml:space="preserve">28400 Arcisses</w:t>
            </w:r>
          </w:p>
          <w:p w:rsidR="00000000" w:rsidDel="00000000" w:rsidP="00000000" w:rsidRDefault="00000000" w:rsidRPr="00000000" w14:paraId="00000005">
            <w:pPr>
              <w:rPr>
                <w:color w:val="000000"/>
                <w:sz w:val="22"/>
                <w:szCs w:val="22"/>
              </w:rPr>
            </w:pPr>
            <w:r w:rsidDel="00000000" w:rsidR="00000000" w:rsidRPr="00000000">
              <w:rPr>
                <w:color w:val="000000"/>
                <w:sz w:val="22"/>
                <w:szCs w:val="22"/>
                <w:rtl w:val="0"/>
              </w:rPr>
              <w:t xml:space="preserve">brasserielabaz@gmail.com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ind w:left="71" w:firstLine="0"/>
              <w:rPr/>
            </w:pPr>
            <w:r w:rsidDel="00000000" w:rsidR="00000000" w:rsidRPr="00000000">
              <w:rPr>
                <w:b w:val="1"/>
                <w:sz w:val="22"/>
                <w:szCs w:val="22"/>
                <w:rtl w:val="0"/>
              </w:rPr>
              <w:t xml:space="preserve">Adhérent(es) du Panier vanvéen</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7">
            <w:pPr>
              <w:ind w:left="71" w:firstLine="0"/>
              <w:rPr>
                <w:sz w:val="22"/>
                <w:szCs w:val="22"/>
              </w:rPr>
            </w:pPr>
            <w:r w:rsidDel="00000000" w:rsidR="00000000" w:rsidRPr="00000000">
              <w:rPr>
                <w:sz w:val="22"/>
                <w:szCs w:val="22"/>
                <w:rtl w:val="0"/>
              </w:rPr>
              <w:t xml:space="preserve">……………………………………</w:t>
            </w:r>
          </w:p>
          <w:p w:rsidR="00000000" w:rsidDel="00000000" w:rsidP="00000000" w:rsidRDefault="00000000" w:rsidRPr="00000000" w14:paraId="00000008">
            <w:pPr>
              <w:ind w:left="71" w:firstLine="0"/>
              <w:rPr>
                <w:sz w:val="22"/>
                <w:szCs w:val="22"/>
              </w:rPr>
            </w:pPr>
            <w:r w:rsidDel="00000000" w:rsidR="00000000" w:rsidRPr="00000000">
              <w:rPr>
                <w:sz w:val="22"/>
                <w:szCs w:val="22"/>
                <w:rtl w:val="0"/>
              </w:rPr>
              <w:t xml:space="preserve">Tél. :…………………………</w:t>
            </w:r>
          </w:p>
          <w:p w:rsidR="00000000" w:rsidDel="00000000" w:rsidP="00000000" w:rsidRDefault="00000000" w:rsidRPr="00000000" w14:paraId="00000009">
            <w:pPr>
              <w:ind w:left="71" w:firstLine="0"/>
              <w:rPr>
                <w:sz w:val="22"/>
                <w:szCs w:val="22"/>
              </w:rPr>
            </w:pPr>
            <w:r w:rsidDel="00000000" w:rsidR="00000000" w:rsidRPr="00000000">
              <w:rPr>
                <w:sz w:val="22"/>
                <w:szCs w:val="22"/>
                <w:rtl w:val="0"/>
              </w:rPr>
              <w:t xml:space="preserve">Courriel :……………………………</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b w:val="1"/>
          <w:i w:val="1"/>
          <w:color w:val="000000"/>
          <w:sz w:val="22"/>
          <w:szCs w:val="22"/>
          <w:u w:val="single"/>
          <w:rtl w:val="0"/>
        </w:rPr>
        <w:t xml:space="preserve">Référent </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color w:val="000000"/>
          <w:sz w:val="22"/>
          <w:szCs w:val="22"/>
          <w:rtl w:val="0"/>
        </w:rPr>
        <w:t xml:space="preserve">José Nuevo : 06 68 63 55 84 ; </w:t>
      </w:r>
      <w:hyperlink r:id="rId6">
        <w:r w:rsidDel="00000000" w:rsidR="00000000" w:rsidRPr="00000000">
          <w:rPr>
            <w:color w:val="0000ff"/>
            <w:u w:val="single"/>
            <w:rtl w:val="0"/>
          </w:rPr>
          <w:t xml:space="preserve">pepon2@free.fr</w:t>
        </w:r>
      </w:hyperlink>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2"/>
          <w:szCs w:val="22"/>
          <w:rtl w:val="0"/>
        </w:rPr>
        <w:t xml:space="preserve">Ce contrat instaure un partenariat entre un producteur et un amapien souscripteur. Le préachat de bière artisanale certifiée biologique distribuée par le producteur au Panier vanvéen contribue au maintien d’une agriculture paysanne locale </w:t>
      </w:r>
      <w:r w:rsidDel="00000000" w:rsidR="00000000" w:rsidRPr="00000000">
        <w:rPr>
          <w:color w:val="000000"/>
          <w:sz w:val="22"/>
          <w:szCs w:val="22"/>
          <w:rtl w:val="0"/>
        </w:rPr>
        <w:t xml:space="preserve">et constitue un soutien pour une économie solidaire</w:t>
      </w:r>
      <w:r w:rsidDel="00000000" w:rsidR="00000000" w:rsidRPr="00000000">
        <w:rPr>
          <w:sz w:val="22"/>
          <w:szCs w:val="22"/>
          <w:rtl w:val="0"/>
        </w:rPr>
        <w:t xml:space="preserve">. Le souscripteur partage les risques exceptionnels de production et de livraison, conformément à la charte des amap (</w:t>
      </w:r>
      <w:hyperlink r:id="rId7">
        <w:r w:rsidDel="00000000" w:rsidR="00000000" w:rsidRPr="00000000">
          <w:rPr>
            <w:sz w:val="22"/>
            <w:szCs w:val="22"/>
            <w:rtl w:val="0"/>
          </w:rPr>
          <w:t xml:space="preserve">www.amap-idf.org</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Préachat pour :</w:t>
      </w:r>
    </w:p>
    <w:tbl>
      <w:tblPr>
        <w:tblStyle w:val="Table2"/>
        <w:tblW w:w="7180.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0"/>
        <w:gridCol w:w="1200"/>
        <w:gridCol w:w="1200"/>
        <w:gridCol w:w="1200"/>
        <w:gridCol w:w="1200"/>
        <w:tblGridChange w:id="0">
          <w:tblGrid>
            <w:gridCol w:w="2380"/>
            <w:gridCol w:w="1200"/>
            <w:gridCol w:w="1200"/>
            <w:gridCol w:w="1200"/>
            <w:gridCol w:w="1200"/>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Prix</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par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livraison</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Dû par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livraison</w:t>
            </w:r>
          </w:p>
        </w:tc>
      </w:tr>
      <w:tr>
        <w:trPr>
          <w:cantSplit w:val="0"/>
          <w:trHeight w:val="300" w:hRule="atLeast"/>
          <w:tblHeader w:val="0"/>
        </w:trPr>
        <w:tc>
          <w:tcPr>
            <w:tcBorders>
              <w:left w:color="000000" w:space="0" w:sz="4" w:val="single"/>
              <w:right w:color="000000" w:space="0" w:sz="4" w:val="single"/>
            </w:tcBorders>
            <w:shd w:fill="auto" w:val="clear"/>
            <w:vAlign w:val="bottom"/>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Baz’hic (blonde, 5 % alc)</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left w:color="000000" w:space="0" w:sz="4" w:val="single"/>
              <w:right w:color="000000" w:space="0" w:sz="4" w:val="single"/>
            </w:tcBorders>
            <w:shd w:fill="auto" w:val="clear"/>
            <w:vAlign w:val="bottom"/>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Baz'cule (ambrée, 6 % alc)</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left w:color="000000" w:space="0" w:sz="4" w:val="single"/>
              <w:right w:color="000000" w:space="0" w:sz="4" w:val="single"/>
            </w:tcBorders>
            <w:shd w:fill="auto" w:val="clear"/>
            <w:vAlign w:val="bottom"/>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Baz'alte (brune, 6 % alc)</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left w:color="000000" w:space="0" w:sz="4" w:val="single"/>
              <w:right w:color="000000" w:space="0" w:sz="4" w:val="single"/>
            </w:tcBorders>
            <w:shd w:fill="auto" w:val="clear"/>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top w:color="000000" w:space="0" w:sz="4" w:val="single"/>
              <w:left w:color="000000" w:space="0" w:sz="4" w:val="single"/>
              <w:right w:color="000000" w:space="0" w:sz="4" w:val="single"/>
            </w:tcBorders>
            <w:shd w:fill="auto" w:val="clear"/>
            <w:vAlign w:val="bottom"/>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Baz'ooka (IPA, 5,5 alc)</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2,85</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cl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pour 3 livraisons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5">
      <w:pPr>
        <w:rPr>
          <w:b w:val="1"/>
          <w:sz w:val="22"/>
          <w:szCs w:val="22"/>
        </w:rPr>
      </w:pPr>
      <w:r w:rsidDel="00000000" w:rsidR="00000000" w:rsidRPr="00000000">
        <w:rPr>
          <w:rtl w:val="0"/>
        </w:rPr>
      </w:r>
    </w:p>
    <w:p w:rsidR="00000000" w:rsidDel="00000000" w:rsidP="00000000" w:rsidRDefault="00000000" w:rsidRPr="00000000" w14:paraId="00000046">
      <w:pPr>
        <w:rPr>
          <w:color w:val="000000"/>
          <w:sz w:val="22"/>
          <w:szCs w:val="22"/>
        </w:rPr>
      </w:pPr>
      <w:r w:rsidDel="00000000" w:rsidR="00000000" w:rsidRPr="00000000">
        <w:rPr>
          <w:color w:val="000000"/>
          <w:sz w:val="22"/>
          <w:szCs w:val="22"/>
          <w:rtl w:val="0"/>
        </w:rPr>
        <w:t xml:space="preserve">Les bouteilles de 75 cl sont consignées et devront être rapportées à la livraison suivante.</w:t>
      </w:r>
    </w:p>
    <w:p w:rsidR="00000000" w:rsidDel="00000000" w:rsidP="00000000" w:rsidRDefault="00000000" w:rsidRPr="00000000" w14:paraId="00000047">
      <w:pPr>
        <w:jc w:val="both"/>
        <w:rPr>
          <w:color w:val="000000"/>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Engagement de l’adhérent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préfinancer la production ; assurer une permanence de distribution ; gérer son panier (partage éventuel de son contenu, les retards et absences aux distributions).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Engagements du producteur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produire et livrer des produits de qualité correspondant au présent contrat ; informer les cosignataires de tout événement le mettant en incapacité d'honorer tout ou partie de ses engagements contractuels.</w:t>
      </w:r>
      <w:r w:rsidDel="00000000" w:rsidR="00000000" w:rsidRPr="00000000">
        <w:rPr>
          <w:rtl w:val="0"/>
        </w:rPr>
      </w:r>
    </w:p>
    <w:p w:rsidR="00000000" w:rsidDel="00000000" w:rsidP="00000000" w:rsidRDefault="00000000" w:rsidRPr="00000000" w14:paraId="0000004B">
      <w:pPr>
        <w:jc w:val="both"/>
        <w:rPr>
          <w:b w:val="1"/>
          <w:i w:val="1"/>
          <w:sz w:val="22"/>
          <w:szCs w:val="22"/>
          <w:u w:val="single"/>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i w:val="1"/>
          <w:sz w:val="22"/>
          <w:szCs w:val="22"/>
          <w:u w:val="single"/>
          <w:rtl w:val="0"/>
        </w:rPr>
        <w:t xml:space="preserve">Engagements communs :</w:t>
      </w:r>
      <w:r w:rsidDel="00000000" w:rsidR="00000000" w:rsidRPr="00000000">
        <w:rPr>
          <w:sz w:val="22"/>
          <w:szCs w:val="22"/>
          <w:rtl w:val="0"/>
        </w:rPr>
        <w:t xml:space="preserve"> l</w:t>
      </w:r>
      <w:r w:rsidDel="00000000" w:rsidR="00000000" w:rsidRPr="00000000">
        <w:rPr>
          <w:color w:val="000000"/>
          <w:sz w:val="22"/>
          <w:szCs w:val="22"/>
          <w:rtl w:val="0"/>
        </w:rPr>
        <w:t xml:space="preserve">es partenaires s’engagent à partager les risques et bénéfices naturels liés à l’activité agricole (aléas climatiques, ravageurs, etc.) et à faire part au collectif des soucis rencontrés.</w:t>
      </w:r>
      <w:r w:rsidDel="00000000" w:rsidR="00000000" w:rsidRPr="00000000">
        <w:rPr>
          <w:rtl w:val="0"/>
        </w:rPr>
      </w:r>
    </w:p>
    <w:p w:rsidR="00000000" w:rsidDel="00000000" w:rsidP="00000000" w:rsidRDefault="00000000" w:rsidRPr="00000000" w14:paraId="0000004D">
      <w:pPr>
        <w:jc w:val="both"/>
        <w:rPr>
          <w:b w:val="1"/>
          <w:i w:val="1"/>
          <w:color w:val="000000"/>
          <w:sz w:val="22"/>
          <w:szCs w:val="22"/>
          <w:u w:val="single"/>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1"/>
          <w:i w:val="1"/>
          <w:color w:val="000000"/>
          <w:sz w:val="22"/>
          <w:szCs w:val="22"/>
          <w:u w:val="single"/>
          <w:rtl w:val="0"/>
        </w:rPr>
        <w:t xml:space="preserve">Planning des livraisons :</w:t>
      </w:r>
      <w:r w:rsidDel="00000000" w:rsidR="00000000" w:rsidRPr="00000000">
        <w:rPr>
          <w:color w:val="000000"/>
          <w:sz w:val="22"/>
          <w:szCs w:val="22"/>
          <w:rtl w:val="0"/>
        </w:rPr>
        <w:t xml:space="preserve"> les livraisons ont lieu en même temps que celles des fermes Jeauneau et Cirou, le mardi de 18 h 30 à 20 heures au marché de Vanves, rue Antoine-Fratacci.</w:t>
      </w:r>
      <w:r w:rsidDel="00000000" w:rsidR="00000000" w:rsidRPr="00000000">
        <w:rPr>
          <w:rtl w:val="0"/>
        </w:rPr>
      </w:r>
    </w:p>
    <w:p w:rsidR="00000000" w:rsidDel="00000000" w:rsidP="00000000" w:rsidRDefault="00000000" w:rsidRPr="00000000" w14:paraId="0000004F">
      <w:pPr>
        <w:jc w:val="both"/>
        <w:rPr>
          <w:b w:val="1"/>
          <w:i w:val="1"/>
          <w:sz w:val="22"/>
          <w:szCs w:val="22"/>
          <w:u w:val="single"/>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b w:val="1"/>
          <w:i w:val="1"/>
          <w:sz w:val="22"/>
          <w:szCs w:val="22"/>
          <w:u w:val="single"/>
          <w:rtl w:val="0"/>
        </w:rPr>
        <w:t xml:space="preserve">Modalité de paiement :</w:t>
      </w:r>
      <w:r w:rsidDel="00000000" w:rsidR="00000000" w:rsidRPr="00000000">
        <w:rPr>
          <w:sz w:val="22"/>
          <w:szCs w:val="22"/>
          <w:rtl w:val="0"/>
        </w:rPr>
        <w:t xml:space="preserve"> </w:t>
      </w:r>
      <w:r w:rsidDel="00000000" w:rsidR="00000000" w:rsidRPr="00000000">
        <w:rPr>
          <w:b w:val="1"/>
          <w:sz w:val="22"/>
          <w:szCs w:val="22"/>
          <w:rtl w:val="0"/>
        </w:rPr>
        <w:t xml:space="preserve">le paiement sera effectué en 1 chèque, à l'ordre de Micro-brasserie La Baz, qui sera encaissé lors de la première distribution.</w:t>
      </w: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sz w:val="22"/>
          <w:szCs w:val="22"/>
          <w:rtl w:val="0"/>
        </w:rPr>
        <w:t xml:space="preserve">Chèque : banque :</w:t>
        <w:tab/>
        <w:tab/>
        <w:tab/>
        <w:t xml:space="preserve">; n°</w:t>
        <w:tab/>
        <w:tab/>
        <w:tab/>
        <w:t xml:space="preserve">; montant :</w:t>
      </w:r>
      <w:r w:rsidDel="00000000" w:rsidR="00000000" w:rsidRPr="00000000">
        <w:rPr>
          <w:sz w:val="22"/>
          <w:szCs w:val="22"/>
          <w:rtl w:val="0"/>
        </w:rPr>
        <w:tab/>
        <w:tab/>
      </w: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Fait à Vanves, le :</w:t>
      </w:r>
    </w:p>
    <w:p w:rsidR="00000000" w:rsidDel="00000000" w:rsidP="00000000" w:rsidRDefault="00000000" w:rsidRPr="00000000" w14:paraId="00000054">
      <w:pPr>
        <w:rPr>
          <w:sz w:val="22"/>
          <w:szCs w:val="22"/>
        </w:rPr>
      </w:pPr>
      <w:r w:rsidDel="00000000" w:rsidR="00000000" w:rsidRPr="00000000">
        <w:rPr>
          <w:sz w:val="22"/>
          <w:szCs w:val="22"/>
          <w:rtl w:val="0"/>
        </w:rPr>
        <w:t xml:space="preserve">Signature de(s) l’adhérent(es) :</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pPr>
      <w:r w:rsidDel="00000000" w:rsidR="00000000" w:rsidRPr="00000000">
        <w:rPr>
          <w:sz w:val="22"/>
          <w:szCs w:val="22"/>
          <w:rtl w:val="0"/>
        </w:rPr>
        <w:t xml:space="preserve">La productrice, Marie Barbaz</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2.0" w:type="dxa"/>
        <w:bottom w:w="55.0" w:type="dxa"/>
        <w:right w:w="55.0" w:type="dxa"/>
      </w:tblCellMar>
    </w:tblPr>
  </w:style>
  <w:style w:type="table" w:styleId="Table2">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pon2@free.fr" TargetMode="External"/><Relationship Id="rId7" Type="http://schemas.openxmlformats.org/officeDocument/2006/relationships/hyperlink" Target="http://www.amap-id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