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53" w:rsidRDefault="002C4150">
      <w:pPr>
        <w:ind w:right="120"/>
        <w:jc w:val="center"/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5373286</wp:posOffset>
            </wp:positionH>
            <wp:positionV relativeFrom="paragraph">
              <wp:posOffset>8626</wp:posOffset>
            </wp:positionV>
            <wp:extent cx="889000" cy="908050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0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367402</wp:posOffset>
            </wp:positionH>
            <wp:positionV relativeFrom="margin">
              <wp:align>top</wp:align>
            </wp:positionV>
            <wp:extent cx="1122045" cy="1122045"/>
            <wp:effectExtent l="0" t="0" r="1905" b="1905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2667">
        <w:rPr>
          <w:b/>
          <w:sz w:val="36"/>
          <w:szCs w:val="36"/>
        </w:rPr>
        <w:t>Association Fleurs de Cocagne d’Avrainville</w:t>
      </w:r>
    </w:p>
    <w:p w:rsidR="00201153" w:rsidRDefault="002011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1153" w:rsidRDefault="0081266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- Contrat d’Adhésion 2020 -</w:t>
      </w:r>
    </w:p>
    <w:p w:rsidR="00201153" w:rsidRDefault="008126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5132669</wp:posOffset>
                </wp:positionH>
                <wp:positionV relativeFrom="paragraph">
                  <wp:posOffset>125359</wp:posOffset>
                </wp:positionV>
                <wp:extent cx="1330325" cy="491706"/>
                <wp:effectExtent l="0" t="0" r="317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1153" w:rsidRPr="002C4150" w:rsidRDefault="00812667">
                            <w:pPr>
                              <w:jc w:val="center"/>
                              <w:textDirection w:val="btLr"/>
                              <w:rPr>
                                <w:sz w:val="14"/>
                              </w:rPr>
                            </w:pPr>
                            <w:r w:rsidRPr="002C4150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Le Panier vanvéen</w:t>
                            </w:r>
                          </w:p>
                          <w:p w:rsidR="00201153" w:rsidRDefault="002011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4.15pt;margin-top:9.85pt;width:104.75pt;height:3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" stroked="f">
                <v:textbox inset="2.53958mm,1.2694mm,2.53958mm,1.2694mm">
                  <w:txbxContent>
                    <w:p w:rsidR="00201153" w:rsidRPr="002C4150" w:rsidRDefault="00812667">
                      <w:pPr>
                        <w:jc w:val="center"/>
                        <w:textDirection w:val="btLr"/>
                        <w:rPr>
                          <w:sz w:val="14"/>
                        </w:rPr>
                      </w:pPr>
                      <w:r w:rsidRPr="002C4150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Le Panier vanvéen</w:t>
                      </w:r>
                    </w:p>
                    <w:p w:rsidR="00201153" w:rsidRDefault="0020115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01153" w:rsidRDefault="00812667">
      <w:pPr>
        <w:jc w:val="center"/>
        <w:rPr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ABONNEMENT BOUQUETS AMAPIEN</w:t>
      </w:r>
    </w:p>
    <w:p w:rsidR="00201153" w:rsidRDefault="002011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1153" w:rsidRDefault="00812667">
      <w:pPr>
        <w:spacing w:line="249" w:lineRule="auto"/>
        <w:jc w:val="both"/>
        <w:rPr>
          <w:sz w:val="22"/>
          <w:szCs w:val="22"/>
        </w:rPr>
      </w:pPr>
      <w:r>
        <w:rPr>
          <w:sz w:val="22"/>
          <w:szCs w:val="22"/>
        </w:rPr>
        <w:t>Ce contrat définit les conditions de l’échange entre l’Amapien du Panier Vanvéen et l’association Fleurs de Cocagne. L’association Le Panier Vanvéen s’acquitte de la cotisation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annuelle à l’association Fleurs de Cocagne pour une année civile à compter du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janvier 2020.</w:t>
      </w:r>
    </w:p>
    <w:p w:rsidR="00201153" w:rsidRDefault="002011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01153" w:rsidRDefault="00812667">
      <w:pPr>
        <w:rPr>
          <w:color w:val="C0C0C0"/>
          <w:sz w:val="22"/>
          <w:szCs w:val="22"/>
        </w:rPr>
      </w:pPr>
      <w:r>
        <w:rPr>
          <w:sz w:val="22"/>
          <w:szCs w:val="22"/>
        </w:rPr>
        <w:t xml:space="preserve">Nom de l’Amapien </w:t>
      </w:r>
      <w:r>
        <w:rPr>
          <w:color w:val="C0C0C0"/>
          <w:sz w:val="22"/>
          <w:szCs w:val="22"/>
        </w:rPr>
        <w:t>……..……...</w:t>
      </w:r>
      <w:r w:rsidR="002C4150">
        <w:rPr>
          <w:color w:val="C0C0C0"/>
          <w:sz w:val="22"/>
          <w:szCs w:val="22"/>
        </w:rPr>
        <w:t>................</w:t>
      </w:r>
      <w:r>
        <w:rPr>
          <w:sz w:val="22"/>
          <w:szCs w:val="22"/>
        </w:rPr>
        <w:t xml:space="preserve"> Prénom </w:t>
      </w:r>
      <w:r w:rsidR="00281427">
        <w:rPr>
          <w:color w:val="C0C0C0"/>
          <w:sz w:val="22"/>
          <w:szCs w:val="22"/>
        </w:rPr>
        <w:t>……………………………………………………………</w:t>
      </w:r>
      <w:r>
        <w:rPr>
          <w:color w:val="C0C0C0"/>
          <w:sz w:val="22"/>
          <w:szCs w:val="22"/>
        </w:rPr>
        <w:t>….……….……………</w:t>
      </w:r>
    </w:p>
    <w:p w:rsidR="00201153" w:rsidRDefault="00812667">
      <w:pPr>
        <w:rPr>
          <w:color w:val="C0C0C0"/>
          <w:sz w:val="22"/>
          <w:szCs w:val="22"/>
        </w:rPr>
      </w:pPr>
      <w:r>
        <w:rPr>
          <w:color w:val="0A143E"/>
          <w:sz w:val="22"/>
          <w:szCs w:val="22"/>
        </w:rPr>
        <w:t xml:space="preserve">Adresse </w:t>
      </w:r>
      <w:r>
        <w:rPr>
          <w:color w:val="C0C0C0"/>
          <w:sz w:val="22"/>
          <w:szCs w:val="22"/>
        </w:rPr>
        <w:t>…..………………………………………………………………………………………….……….…………………</w:t>
      </w:r>
      <w:r w:rsidR="00281427">
        <w:rPr>
          <w:color w:val="C0C0C0"/>
          <w:sz w:val="22"/>
          <w:szCs w:val="22"/>
        </w:rPr>
        <w:t>…………..</w:t>
      </w:r>
      <w:r>
        <w:rPr>
          <w:color w:val="C0C0C0"/>
          <w:sz w:val="22"/>
          <w:szCs w:val="22"/>
        </w:rPr>
        <w:t>…………..</w:t>
      </w:r>
    </w:p>
    <w:p w:rsidR="00201153" w:rsidRDefault="00812667">
      <w:pPr>
        <w:rPr>
          <w:color w:val="C0C0C0"/>
          <w:sz w:val="22"/>
          <w:szCs w:val="22"/>
        </w:rPr>
      </w:pPr>
      <w:r>
        <w:rPr>
          <w:color w:val="0A143E"/>
          <w:sz w:val="22"/>
          <w:szCs w:val="22"/>
        </w:rPr>
        <w:t xml:space="preserve">Code Postal </w:t>
      </w:r>
      <w:r>
        <w:rPr>
          <w:color w:val="C0C0C0"/>
          <w:sz w:val="22"/>
          <w:szCs w:val="22"/>
        </w:rPr>
        <w:t>……………..……</w:t>
      </w:r>
      <w:r>
        <w:rPr>
          <w:color w:val="0A143E"/>
          <w:sz w:val="22"/>
          <w:szCs w:val="22"/>
        </w:rPr>
        <w:t xml:space="preserve"> Localité </w:t>
      </w:r>
      <w:r>
        <w:rPr>
          <w:color w:val="C0C0C0"/>
          <w:sz w:val="22"/>
          <w:szCs w:val="22"/>
        </w:rPr>
        <w:t>…………………………………..…………………......</w:t>
      </w:r>
      <w:r>
        <w:rPr>
          <w:color w:val="000000"/>
          <w:sz w:val="22"/>
          <w:szCs w:val="22"/>
        </w:rPr>
        <w:t xml:space="preserve">Tel </w:t>
      </w:r>
      <w:r>
        <w:rPr>
          <w:color w:val="C0C0C0"/>
          <w:sz w:val="22"/>
          <w:szCs w:val="22"/>
        </w:rPr>
        <w:t>……………………………</w:t>
      </w:r>
      <w:r w:rsidR="00281427">
        <w:rPr>
          <w:color w:val="C0C0C0"/>
          <w:sz w:val="22"/>
          <w:szCs w:val="22"/>
        </w:rPr>
        <w:t>………….</w:t>
      </w:r>
      <w:r>
        <w:rPr>
          <w:color w:val="C0C0C0"/>
          <w:sz w:val="22"/>
          <w:szCs w:val="22"/>
        </w:rPr>
        <w:t>.</w:t>
      </w:r>
    </w:p>
    <w:p w:rsidR="00201153" w:rsidRDefault="00812667">
      <w:pPr>
        <w:rPr>
          <w:color w:val="C0C0C0"/>
          <w:sz w:val="22"/>
          <w:szCs w:val="22"/>
        </w:rPr>
      </w:pPr>
      <w:r>
        <w:rPr>
          <w:color w:val="0A143E"/>
          <w:sz w:val="22"/>
          <w:szCs w:val="22"/>
        </w:rPr>
        <w:t xml:space="preserve">Courriel : </w:t>
      </w:r>
      <w:r>
        <w:rPr>
          <w:color w:val="C0C0C0"/>
          <w:sz w:val="22"/>
          <w:szCs w:val="22"/>
        </w:rPr>
        <w:t>…………………….……………………………</w:t>
      </w:r>
      <w:r w:rsidR="002C4150">
        <w:rPr>
          <w:color w:val="C0C0C0"/>
          <w:sz w:val="22"/>
          <w:szCs w:val="22"/>
        </w:rPr>
        <w:t>…………….</w:t>
      </w:r>
      <w:r>
        <w:rPr>
          <w:color w:val="C0C0C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@</w:t>
      </w:r>
      <w:r>
        <w:rPr>
          <w:color w:val="C0C0C0"/>
          <w:sz w:val="22"/>
          <w:szCs w:val="22"/>
        </w:rPr>
        <w:t>...............................</w:t>
      </w:r>
      <w:r>
        <w:rPr>
          <w:b/>
          <w:color w:val="000000"/>
          <w:sz w:val="22"/>
          <w:szCs w:val="22"/>
        </w:rPr>
        <w:t>.</w:t>
      </w:r>
      <w:r>
        <w:rPr>
          <w:color w:val="C0C0C0"/>
          <w:sz w:val="22"/>
          <w:szCs w:val="22"/>
        </w:rPr>
        <w:t>………</w:t>
      </w:r>
      <w:r w:rsidR="00281427">
        <w:rPr>
          <w:color w:val="C0C0C0"/>
          <w:sz w:val="22"/>
          <w:szCs w:val="22"/>
        </w:rPr>
        <w:t>…………………………………..</w:t>
      </w:r>
      <w:r>
        <w:rPr>
          <w:color w:val="C0C0C0"/>
          <w:sz w:val="22"/>
          <w:szCs w:val="22"/>
        </w:rPr>
        <w:t>.</w:t>
      </w:r>
    </w:p>
    <w:p w:rsidR="00201153" w:rsidRDefault="00201153">
      <w:pPr>
        <w:rPr>
          <w:color w:val="C0C0C0"/>
          <w:sz w:val="22"/>
          <w:szCs w:val="22"/>
        </w:rPr>
      </w:pPr>
    </w:p>
    <w:p w:rsidR="00201153" w:rsidRDefault="00812667">
      <w:pPr>
        <w:ind w:left="40"/>
        <w:jc w:val="center"/>
        <w:rPr>
          <w:color w:val="008000"/>
          <w:sz w:val="28"/>
          <w:szCs w:val="28"/>
        </w:rPr>
      </w:pPr>
      <w:bookmarkStart w:id="0" w:name="_GoBack"/>
      <w:bookmarkEnd w:id="0"/>
      <w:r>
        <w:rPr>
          <w:b/>
          <w:color w:val="008000"/>
          <w:sz w:val="28"/>
          <w:szCs w:val="28"/>
        </w:rPr>
        <w:t>----</w:t>
      </w:r>
      <w:r w:rsidR="002C4150">
        <w:rPr>
          <w:b/>
          <w:color w:val="008000"/>
          <w:sz w:val="28"/>
          <w:szCs w:val="28"/>
        </w:rPr>
        <w:t>--------------------</w:t>
      </w:r>
      <w:r>
        <w:rPr>
          <w:b/>
          <w:color w:val="008000"/>
          <w:sz w:val="28"/>
          <w:szCs w:val="28"/>
        </w:rPr>
        <w:t>Bouquet de roses et fleurs de saison -----------------------</w:t>
      </w:r>
      <w:r>
        <w:rPr>
          <w:b/>
          <w:color w:val="008000"/>
          <w:sz w:val="28"/>
          <w:szCs w:val="28"/>
        </w:rPr>
        <w:t>-----</w:t>
      </w:r>
    </w:p>
    <w:p w:rsidR="00201153" w:rsidRDefault="00201153">
      <w:pPr>
        <w:spacing w:line="246" w:lineRule="auto"/>
        <w:jc w:val="center"/>
        <w:rPr>
          <w:sz w:val="22"/>
          <w:szCs w:val="22"/>
        </w:rPr>
      </w:pPr>
    </w:p>
    <w:p w:rsidR="00201153" w:rsidRDefault="00812667">
      <w:pPr>
        <w:spacing w:line="24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Bouquet mensuel : 20 €</w:t>
      </w:r>
    </w:p>
    <w:p w:rsidR="00201153" w:rsidRDefault="00812667">
      <w:pPr>
        <w:spacing w:line="24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modèle de bouquet proposé en abonnement est le</w:t>
      </w:r>
      <w:r>
        <w:rPr>
          <w:sz w:val="22"/>
          <w:szCs w:val="22"/>
        </w:rPr>
        <w:t xml:space="preserve"> bouquet Émotion, il est composé d’une vingtaine de fleurs, mélange de roses et fleurs de saison choisies au gré les récoltes et de l’inspiration de nos fleuristes.</w:t>
      </w:r>
    </w:p>
    <w:p w:rsidR="00201153" w:rsidRDefault="0081266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996950</wp:posOffset>
            </wp:positionH>
            <wp:positionV relativeFrom="paragraph">
              <wp:posOffset>97790</wp:posOffset>
            </wp:positionV>
            <wp:extent cx="3215751" cy="1005840"/>
            <wp:effectExtent l="0" t="0" r="3810" b="3810"/>
            <wp:wrapSquare wrapText="bothSides" distT="0" distB="0" distL="0" distR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5751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153" w:rsidRDefault="002011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01153" w:rsidRDefault="002011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01153" w:rsidRDefault="002011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01153" w:rsidRDefault="002011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01153" w:rsidRDefault="002011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01153" w:rsidRDefault="002011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01153" w:rsidRDefault="0020115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01153" w:rsidRDefault="00812667">
      <w:pPr>
        <w:spacing w:line="22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livraisons auront lieu en semaine impaire, les mardis 28 juillet, 25 août, 22 septembre et 20 octobre 2020 de </w:t>
      </w:r>
      <w:r>
        <w:rPr>
          <w:b/>
          <w:sz w:val="22"/>
          <w:szCs w:val="22"/>
        </w:rPr>
        <w:t xml:space="preserve">18h30 à 20 heures, </w:t>
      </w:r>
      <w:r>
        <w:rPr>
          <w:sz w:val="22"/>
          <w:szCs w:val="22"/>
        </w:rPr>
        <w:t xml:space="preserve">au </w:t>
      </w:r>
      <w:r>
        <w:rPr>
          <w:b/>
          <w:sz w:val="22"/>
          <w:szCs w:val="22"/>
        </w:rPr>
        <w:t>marché couvert de Vanves.</w:t>
      </w:r>
    </w:p>
    <w:p w:rsidR="00201153" w:rsidRDefault="00812667">
      <w:pPr>
        <w:spacing w:line="224" w:lineRule="auto"/>
        <w:jc w:val="both"/>
        <w:rPr>
          <w:sz w:val="22"/>
          <w:szCs w:val="22"/>
        </w:rPr>
      </w:pPr>
      <w:r>
        <w:rPr>
          <w:sz w:val="22"/>
          <w:szCs w:val="22"/>
        </w:rPr>
        <w:t>Nous vous proposons 4 types de paniers au choix </w:t>
      </w:r>
      <w:r>
        <w:rPr>
          <w:sz w:val="22"/>
          <w:szCs w:val="22"/>
        </w:rPr>
        <w:t xml:space="preserve">(comprenant 2 à 4 bouquets) : </w:t>
      </w:r>
    </w:p>
    <w:p w:rsidR="00201153" w:rsidRDefault="00201153">
      <w:pPr>
        <w:rPr>
          <w:sz w:val="22"/>
          <w:szCs w:val="22"/>
        </w:rPr>
      </w:pPr>
    </w:p>
    <w:tbl>
      <w:tblPr>
        <w:tblStyle w:val="a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3229"/>
        <w:gridCol w:w="1020"/>
        <w:gridCol w:w="1260"/>
        <w:gridCol w:w="1170"/>
      </w:tblGrid>
      <w:tr w:rsidR="00201153" w:rsidTr="002C4150">
        <w:tc>
          <w:tcPr>
            <w:tcW w:w="2406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de panier</w:t>
            </w:r>
          </w:p>
        </w:tc>
        <w:tc>
          <w:tcPr>
            <w:tcW w:w="3229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="002C4150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de livraison</w:t>
            </w:r>
          </w:p>
        </w:tc>
        <w:tc>
          <w:tcPr>
            <w:tcW w:w="1020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Prix unitaire</w:t>
            </w:r>
          </w:p>
        </w:tc>
        <w:tc>
          <w:tcPr>
            <w:tcW w:w="1260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 panier(s)</w:t>
            </w:r>
          </w:p>
        </w:tc>
        <w:tc>
          <w:tcPr>
            <w:tcW w:w="1170" w:type="dxa"/>
            <w:vAlign w:val="center"/>
          </w:tcPr>
          <w:p w:rsidR="00201153" w:rsidRDefault="00812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201153" w:rsidTr="002C4150">
        <w:tc>
          <w:tcPr>
            <w:tcW w:w="2406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bouquets </w:t>
            </w:r>
          </w:p>
        </w:tc>
        <w:tc>
          <w:tcPr>
            <w:tcW w:w="3229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28/07 – 25/08 – 22/09 – 20/10 </w:t>
            </w:r>
          </w:p>
        </w:tc>
        <w:tc>
          <w:tcPr>
            <w:tcW w:w="1020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80 €</w:t>
            </w:r>
          </w:p>
        </w:tc>
        <w:tc>
          <w:tcPr>
            <w:tcW w:w="1260" w:type="dxa"/>
            <w:vAlign w:val="center"/>
          </w:tcPr>
          <w:p w:rsidR="00201153" w:rsidRDefault="00201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01153" w:rsidRDefault="00201153">
            <w:pPr>
              <w:jc w:val="center"/>
              <w:rPr>
                <w:sz w:val="22"/>
                <w:szCs w:val="22"/>
              </w:rPr>
            </w:pPr>
          </w:p>
        </w:tc>
      </w:tr>
      <w:tr w:rsidR="00201153" w:rsidTr="002C4150">
        <w:tc>
          <w:tcPr>
            <w:tcW w:w="2406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bouquets Juillet</w:t>
            </w:r>
          </w:p>
        </w:tc>
        <w:tc>
          <w:tcPr>
            <w:tcW w:w="3229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28/07 – 22/09 – 20/10</w:t>
            </w:r>
          </w:p>
        </w:tc>
        <w:tc>
          <w:tcPr>
            <w:tcW w:w="1020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60 €</w:t>
            </w:r>
          </w:p>
        </w:tc>
        <w:tc>
          <w:tcPr>
            <w:tcW w:w="1260" w:type="dxa"/>
            <w:vAlign w:val="center"/>
          </w:tcPr>
          <w:p w:rsidR="00201153" w:rsidRDefault="00201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01153" w:rsidRDefault="00201153">
            <w:pPr>
              <w:jc w:val="center"/>
              <w:rPr>
                <w:sz w:val="22"/>
                <w:szCs w:val="22"/>
              </w:rPr>
            </w:pPr>
          </w:p>
        </w:tc>
      </w:tr>
      <w:tr w:rsidR="00201153" w:rsidTr="002C4150">
        <w:tc>
          <w:tcPr>
            <w:tcW w:w="2406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bouquets Aout</w:t>
            </w:r>
          </w:p>
        </w:tc>
        <w:tc>
          <w:tcPr>
            <w:tcW w:w="3229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25/08 – 22/09 – 20/10</w:t>
            </w:r>
          </w:p>
        </w:tc>
        <w:tc>
          <w:tcPr>
            <w:tcW w:w="1020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60 €</w:t>
            </w:r>
          </w:p>
        </w:tc>
        <w:tc>
          <w:tcPr>
            <w:tcW w:w="1260" w:type="dxa"/>
            <w:vAlign w:val="center"/>
          </w:tcPr>
          <w:p w:rsidR="00201153" w:rsidRDefault="00201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01153" w:rsidRDefault="00201153">
            <w:pPr>
              <w:jc w:val="center"/>
              <w:rPr>
                <w:sz w:val="22"/>
                <w:szCs w:val="22"/>
              </w:rPr>
            </w:pPr>
          </w:p>
        </w:tc>
      </w:tr>
      <w:tr w:rsidR="00201153" w:rsidTr="002C4150">
        <w:tc>
          <w:tcPr>
            <w:tcW w:w="2406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bouquets Eté</w:t>
            </w:r>
          </w:p>
        </w:tc>
        <w:tc>
          <w:tcPr>
            <w:tcW w:w="3229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28/07 et 25/08 </w:t>
            </w:r>
          </w:p>
        </w:tc>
        <w:tc>
          <w:tcPr>
            <w:tcW w:w="1020" w:type="dxa"/>
            <w:vAlign w:val="center"/>
          </w:tcPr>
          <w:p w:rsidR="00201153" w:rsidRDefault="00812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40 €</w:t>
            </w:r>
          </w:p>
        </w:tc>
        <w:tc>
          <w:tcPr>
            <w:tcW w:w="1260" w:type="dxa"/>
            <w:vAlign w:val="center"/>
          </w:tcPr>
          <w:p w:rsidR="00201153" w:rsidRDefault="00201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01153" w:rsidRDefault="00201153">
            <w:pPr>
              <w:jc w:val="center"/>
              <w:rPr>
                <w:sz w:val="22"/>
                <w:szCs w:val="22"/>
              </w:rPr>
            </w:pPr>
          </w:p>
        </w:tc>
      </w:tr>
      <w:tr w:rsidR="00201153" w:rsidTr="002C4150">
        <w:trPr>
          <w:trHeight w:val="240"/>
        </w:trPr>
        <w:tc>
          <w:tcPr>
            <w:tcW w:w="6655" w:type="dxa"/>
            <w:gridSpan w:val="3"/>
            <w:vAlign w:val="center"/>
          </w:tcPr>
          <w:p w:rsidR="00201153" w:rsidRDefault="00201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01153" w:rsidRDefault="00812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CONTRAT = </w:t>
            </w:r>
          </w:p>
        </w:tc>
      </w:tr>
    </w:tbl>
    <w:p w:rsidR="00201153" w:rsidRDefault="00201153">
      <w:pPr>
        <w:jc w:val="both"/>
        <w:rPr>
          <w:sz w:val="22"/>
          <w:szCs w:val="22"/>
        </w:rPr>
      </w:pPr>
    </w:p>
    <w:p w:rsidR="00201153" w:rsidRDefault="00812667">
      <w:pPr>
        <w:spacing w:line="225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Règlement par chèque </w:t>
      </w:r>
      <w:r>
        <w:rPr>
          <w:sz w:val="22"/>
          <w:szCs w:val="22"/>
        </w:rPr>
        <w:t>(1 seul chèque sauf pour la formule 4 bouquets : possibilité de faire 2 chèques)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Chèques à l’ordre de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Fleurs de Cocagne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à remettre avec </w:t>
      </w:r>
      <w:r>
        <w:rPr>
          <w:b/>
          <w:sz w:val="22"/>
          <w:szCs w:val="22"/>
        </w:rPr>
        <w:t xml:space="preserve">le contrat dûment complété. </w:t>
      </w:r>
    </w:p>
    <w:p w:rsidR="00201153" w:rsidRDefault="0081266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Engagements communs : </w:t>
      </w:r>
      <w:r>
        <w:rPr>
          <w:sz w:val="22"/>
          <w:szCs w:val="22"/>
        </w:rPr>
        <w:t>Les partenaires s'engagent à partager les risques et bénéfices naturels liés à l'activité agricole (aléas climatiques, maladie des animaux, ravageurs, etc.) et à faire part au collectif des soucis rencontrés. En cas de situation exceptionnelle, les conditi</w:t>
      </w:r>
      <w:r>
        <w:rPr>
          <w:sz w:val="22"/>
          <w:szCs w:val="22"/>
        </w:rPr>
        <w:t>ons d’application de ce contrat pourront être revues lors d’une réunion spécifique à cette situation, réunissant les adhérents et l’agriculteur partenaire, conformément à la charte des amap.</w:t>
      </w:r>
    </w:p>
    <w:p w:rsidR="002C4150" w:rsidRDefault="002C4150">
      <w:pPr>
        <w:tabs>
          <w:tab w:val="left" w:pos="2540"/>
          <w:tab w:val="left" w:pos="3360"/>
          <w:tab w:val="left" w:pos="4160"/>
          <w:tab w:val="left" w:pos="5240"/>
        </w:tabs>
        <w:rPr>
          <w:color w:val="0A143E"/>
          <w:sz w:val="22"/>
          <w:szCs w:val="22"/>
        </w:rPr>
      </w:pPr>
    </w:p>
    <w:p w:rsidR="00201153" w:rsidRDefault="00812667">
      <w:pPr>
        <w:tabs>
          <w:tab w:val="left" w:pos="2540"/>
          <w:tab w:val="left" w:pos="3360"/>
          <w:tab w:val="left" w:pos="4160"/>
          <w:tab w:val="left" w:pos="5240"/>
        </w:tabs>
        <w:rPr>
          <w:color w:val="0A143E"/>
          <w:sz w:val="22"/>
          <w:szCs w:val="22"/>
        </w:rPr>
      </w:pPr>
      <w:r>
        <w:rPr>
          <w:color w:val="0A143E"/>
          <w:sz w:val="22"/>
          <w:szCs w:val="22"/>
        </w:rPr>
        <w:t>Fait à :</w:t>
      </w:r>
      <w:r>
        <w:rPr>
          <w:color w:val="0A143E"/>
          <w:sz w:val="22"/>
          <w:szCs w:val="22"/>
        </w:rPr>
        <w:tab/>
      </w:r>
      <w:r>
        <w:rPr>
          <w:color w:val="0A143E"/>
          <w:sz w:val="22"/>
          <w:szCs w:val="22"/>
        </w:rPr>
        <w:tab/>
        <w:t>le :</w:t>
      </w:r>
      <w:r>
        <w:rPr>
          <w:color w:val="0A143E"/>
          <w:sz w:val="22"/>
          <w:szCs w:val="22"/>
        </w:rPr>
        <w:tab/>
      </w:r>
      <w:r>
        <w:rPr>
          <w:color w:val="0A143E"/>
          <w:sz w:val="22"/>
          <w:szCs w:val="22"/>
        </w:rPr>
        <w:tab/>
      </w:r>
      <w:r>
        <w:rPr>
          <w:color w:val="0A143E"/>
          <w:sz w:val="22"/>
          <w:szCs w:val="22"/>
        </w:rPr>
        <w:tab/>
      </w:r>
      <w:r>
        <w:rPr>
          <w:color w:val="0A143E"/>
          <w:sz w:val="22"/>
          <w:szCs w:val="22"/>
        </w:rPr>
        <w:tab/>
        <w:t>Signature :</w:t>
      </w:r>
    </w:p>
    <w:p w:rsidR="00201153" w:rsidRDefault="002011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1153" w:rsidRDefault="0020115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01153">
      <w:footerReference w:type="default" r:id="rId10"/>
      <w:type w:val="continuous"/>
      <w:pgSz w:w="11900" w:h="16836"/>
      <w:pgMar w:top="728" w:right="864" w:bottom="320" w:left="56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67" w:rsidRDefault="00812667">
      <w:r>
        <w:separator/>
      </w:r>
    </w:p>
  </w:endnote>
  <w:endnote w:type="continuationSeparator" w:id="0">
    <w:p w:rsidR="00812667" w:rsidRDefault="008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53" w:rsidRDefault="00812667">
    <w:pPr>
      <w:ind w:right="-19"/>
      <w:jc w:val="center"/>
      <w:rPr>
        <w:sz w:val="15"/>
        <w:szCs w:val="15"/>
      </w:rPr>
    </w:pPr>
    <w:r>
      <w:rPr>
        <w:sz w:val="15"/>
        <w:szCs w:val="15"/>
      </w:rPr>
      <w:t>Fleurs de Cocagne d’Avrainville - 22, Rue de La Mare - 91 630 AVRAINVILLE - Téléphone : 01 60 82 94 96 / Courriel : fleuriste@fleurs-bio.fr</w:t>
    </w:r>
  </w:p>
  <w:p w:rsidR="00201153" w:rsidRDefault="002011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67" w:rsidRDefault="00812667">
      <w:r>
        <w:separator/>
      </w:r>
    </w:p>
  </w:footnote>
  <w:footnote w:type="continuationSeparator" w:id="0">
    <w:p w:rsidR="00812667" w:rsidRDefault="008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53"/>
    <w:rsid w:val="00201153"/>
    <w:rsid w:val="00281427"/>
    <w:rsid w:val="002C4150"/>
    <w:rsid w:val="00812667"/>
    <w:rsid w:val="00D2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C327"/>
  <w15:docId w15:val="{2C9B54FE-233B-425B-BE93-4CAC1E4B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3B98-0106-4671-9B27-697F77E9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JEAN-MARIUS Régis</dc:creator>
  <cp:lastModifiedBy>JEAN-MARIUS Régis</cp:lastModifiedBy>
  <cp:revision>3</cp:revision>
  <cp:lastPrinted>2020-06-28T06:25:00Z</cp:lastPrinted>
  <dcterms:created xsi:type="dcterms:W3CDTF">2020-06-28T06:25:00Z</dcterms:created>
  <dcterms:modified xsi:type="dcterms:W3CDTF">2020-06-28T06:27:00Z</dcterms:modified>
</cp:coreProperties>
</file>